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8C9" w:rsidRPr="00E34238" w:rsidRDefault="006B68C9" w:rsidP="00E34238">
      <w:pPr>
        <w:jc w:val="center"/>
        <w:rPr>
          <w:rFonts w:ascii="Times New Roman" w:hAnsi="Times New Roman" w:cs="Times New Roman"/>
          <w:b/>
          <w:color w:val="333333"/>
          <w:sz w:val="28"/>
          <w:szCs w:val="28"/>
        </w:rPr>
      </w:pPr>
      <w:r w:rsidRPr="006B68C9">
        <w:rPr>
          <w:rFonts w:ascii="Times New Roman" w:hAnsi="Times New Roman" w:cs="Times New Roman"/>
          <w:b/>
          <w:color w:val="333333"/>
          <w:sz w:val="28"/>
          <w:szCs w:val="28"/>
          <w:shd w:val="clear" w:color="auto" w:fill="FFFFFF"/>
        </w:rPr>
        <w:t>Виды мошенничества в сфере страхования</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Классифицировать мошеннические действия можно по-разному и в зависимости от множества критериев: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u w:val="single"/>
          <w:shd w:val="clear" w:color="auto" w:fill="FFFFFF"/>
        </w:rPr>
        <w:t>В зависимости от того, кто совершает преступление: Клиент прибегает к мошенничеству по отношению к страховщику</w:t>
      </w:r>
      <w:r w:rsidRPr="00E34238">
        <w:rPr>
          <w:rFonts w:ascii="Times New Roman" w:hAnsi="Times New Roman" w:cs="Times New Roman"/>
          <w:sz w:val="26"/>
          <w:szCs w:val="26"/>
          <w:shd w:val="clear" w:color="auto" w:fill="FFFFFF"/>
        </w:rPr>
        <w:t xml:space="preserve">;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proofErr w:type="gramStart"/>
      <w:r w:rsidRPr="00E34238">
        <w:rPr>
          <w:rFonts w:ascii="Times New Roman" w:hAnsi="Times New Roman" w:cs="Times New Roman"/>
          <w:sz w:val="26"/>
          <w:szCs w:val="26"/>
          <w:shd w:val="clear" w:color="auto" w:fill="FFFFFF"/>
        </w:rPr>
        <w:t>Мошенничество  со</w:t>
      </w:r>
      <w:proofErr w:type="gramEnd"/>
      <w:r w:rsidRPr="00E34238">
        <w:rPr>
          <w:rFonts w:ascii="Times New Roman" w:hAnsi="Times New Roman" w:cs="Times New Roman"/>
          <w:sz w:val="26"/>
          <w:szCs w:val="26"/>
          <w:shd w:val="clear" w:color="auto" w:fill="FFFFFF"/>
        </w:rPr>
        <w:t xml:space="preserve"> стороны страховой компании;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Страховая компания фигурирует в качестве элемента или этапа осуществления аферы;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В зависимости от того на каком уровне организована афера, выделяют: «Любительское» мошенничество осуществляется в основном потребителями страховых услуг; </w:t>
      </w:r>
    </w:p>
    <w:p w:rsidR="006B68C9" w:rsidRDefault="006B68C9" w:rsidP="006B68C9">
      <w:pPr>
        <w:pStyle w:val="a3"/>
        <w:ind w:right="-1"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Профессиональное мошенничество подразумевает существование продуманной схемы, где фигурирует структура преступного сообщества. </w:t>
      </w:r>
    </w:p>
    <w:p w:rsidR="00E34238" w:rsidRPr="00E34238" w:rsidRDefault="00E34238" w:rsidP="006B68C9">
      <w:pPr>
        <w:pStyle w:val="a3"/>
        <w:ind w:right="-1" w:firstLine="709"/>
        <w:jc w:val="both"/>
        <w:rPr>
          <w:rFonts w:ascii="Times New Roman" w:hAnsi="Times New Roman" w:cs="Times New Roman"/>
          <w:sz w:val="26"/>
          <w:szCs w:val="26"/>
          <w:shd w:val="clear" w:color="auto" w:fill="FFFFFF"/>
        </w:rPr>
      </w:pPr>
    </w:p>
    <w:p w:rsidR="006B68C9" w:rsidRPr="00E34238" w:rsidRDefault="006B68C9" w:rsidP="006B68C9">
      <w:pPr>
        <w:pStyle w:val="a3"/>
        <w:ind w:firstLine="709"/>
        <w:jc w:val="center"/>
        <w:rPr>
          <w:rFonts w:ascii="Times New Roman" w:hAnsi="Times New Roman" w:cs="Times New Roman"/>
          <w:b/>
          <w:sz w:val="26"/>
          <w:szCs w:val="26"/>
          <w:shd w:val="clear" w:color="auto" w:fill="FFFFFF"/>
        </w:rPr>
      </w:pPr>
      <w:r w:rsidRPr="00E34238">
        <w:rPr>
          <w:rFonts w:ascii="Times New Roman" w:hAnsi="Times New Roman" w:cs="Times New Roman"/>
          <w:b/>
          <w:sz w:val="26"/>
          <w:szCs w:val="26"/>
          <w:shd w:val="clear" w:color="auto" w:fill="FFFFFF"/>
        </w:rPr>
        <w:t>Таким образом, можно выделить 4 вида мошенничества в сфере страхования:</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Прямое мошенничество, к примеру, постановочный страховой случай;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Косвенное мошенничество, когда обстоятельства можно считать фактическими, но сумма выплаты завышается, по причине искажения данных;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Внешнее мошенничество, осуществляется заявителем или третьим лицом в рамках разбирательства по страховому случаю;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Внутреннее мошенничество, подразумевает участие в афере сотрудников. </w:t>
      </w:r>
    </w:p>
    <w:p w:rsidR="006B68C9" w:rsidRPr="00E34238" w:rsidRDefault="006B68C9" w:rsidP="006B68C9">
      <w:pPr>
        <w:pStyle w:val="a3"/>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Наиболее часто встречающиеся мошеннические схемы, хоть и существуют довольно давно, но совершенствуются находчивыми махинаторами ежедневно по всему миру.</w:t>
      </w:r>
    </w:p>
    <w:p w:rsidR="006B68C9" w:rsidRPr="00976558" w:rsidRDefault="006B68C9" w:rsidP="006B68C9">
      <w:pPr>
        <w:pStyle w:val="a3"/>
        <w:jc w:val="center"/>
        <w:rPr>
          <w:rFonts w:ascii="Times New Roman" w:hAnsi="Times New Roman" w:cs="Times New Roman"/>
          <w:b/>
          <w:sz w:val="26"/>
          <w:szCs w:val="26"/>
          <w:shd w:val="clear" w:color="auto" w:fill="FFFFFF"/>
        </w:rPr>
      </w:pPr>
      <w:r w:rsidRPr="00E34238">
        <w:rPr>
          <w:rFonts w:ascii="Times New Roman" w:hAnsi="Times New Roman" w:cs="Times New Roman"/>
          <w:sz w:val="26"/>
          <w:szCs w:val="26"/>
        </w:rPr>
        <w:br/>
      </w:r>
      <w:r w:rsidRPr="00E34238">
        <w:rPr>
          <w:rFonts w:ascii="Times New Roman" w:hAnsi="Times New Roman" w:cs="Times New Roman"/>
          <w:b/>
          <w:sz w:val="26"/>
          <w:szCs w:val="26"/>
          <w:shd w:val="clear" w:color="auto" w:fill="FFFFFF"/>
        </w:rPr>
        <w:t>Нарушения со стороны сотрудников страховой</w:t>
      </w:r>
      <w:r w:rsidR="00976558" w:rsidRPr="00976558">
        <w:rPr>
          <w:rFonts w:ascii="Times New Roman" w:hAnsi="Times New Roman" w:cs="Times New Roman"/>
          <w:b/>
          <w:sz w:val="26"/>
          <w:szCs w:val="26"/>
          <w:shd w:val="clear" w:color="auto" w:fill="FFFFFF"/>
        </w:rPr>
        <w:t xml:space="preserve"> </w:t>
      </w:r>
      <w:r w:rsidR="00976558">
        <w:rPr>
          <w:rFonts w:ascii="Times New Roman" w:hAnsi="Times New Roman" w:cs="Times New Roman"/>
          <w:b/>
          <w:sz w:val="26"/>
          <w:szCs w:val="26"/>
          <w:shd w:val="clear" w:color="auto" w:fill="FFFFFF"/>
        </w:rPr>
        <w:t>компании</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Страховые компании стараются избежать выплаты возмещения своим клиентам. Так рынок, нацеленный на клиента и помощь людям, попавшим в беду, превращается в поле для мошенничества. Как правило, мошенничество со стороны страховой, связанны именно с невыплатой страховых премий и базируется</w:t>
      </w:r>
      <w:bookmarkStart w:id="0" w:name="_GoBack"/>
      <w:bookmarkEnd w:id="0"/>
      <w:r w:rsidRPr="00E34238">
        <w:rPr>
          <w:rFonts w:ascii="Times New Roman" w:hAnsi="Times New Roman" w:cs="Times New Roman"/>
          <w:sz w:val="26"/>
          <w:szCs w:val="26"/>
          <w:shd w:val="clear" w:color="auto" w:fill="FFFFFF"/>
        </w:rPr>
        <w:t xml:space="preserve"> на договорных условиях соглашения.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Проработать отдельное законодательство, относящееся непосредственно к мошенничеству в сфере страхования, предлагают уже давно, но такие меры приняты только в отношении ОСАГО. На сегодняшний день аферы страховщиков можно рассматривать со стороны Гражданского Кодекса, где прописаны условия заключения договора, и то какие действия со стороны страховой не могут быть легальными. Составляя договор с клиентом, в котором присутствуют условия, которые невозможно выдвигать легально.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Даже внимательно прочитав </w:t>
      </w:r>
      <w:r w:rsidR="00E34238">
        <w:rPr>
          <w:rFonts w:ascii="Times New Roman" w:hAnsi="Times New Roman" w:cs="Times New Roman"/>
          <w:sz w:val="26"/>
          <w:szCs w:val="26"/>
          <w:shd w:val="clear" w:color="auto" w:fill="FFFFFF"/>
        </w:rPr>
        <w:t>текст договора, клиент </w:t>
      </w:r>
      <w:r w:rsidRPr="00E34238">
        <w:rPr>
          <w:rFonts w:ascii="Times New Roman" w:hAnsi="Times New Roman" w:cs="Times New Roman"/>
          <w:sz w:val="26"/>
          <w:szCs w:val="26"/>
          <w:shd w:val="clear" w:color="auto" w:fill="FFFFFF"/>
        </w:rPr>
        <w:t>редко понимает, на какие именно условия он соглашается. Меж тем, пункты, которые могут относиться, к примеру, к возмещению страховых взносов по кредиту, не редко подразумевают отсутствие такой возможности.</w:t>
      </w:r>
      <w:r w:rsidRPr="00E34238">
        <w:rPr>
          <w:rFonts w:ascii="Times New Roman" w:hAnsi="Times New Roman" w:cs="Times New Roman"/>
          <w:sz w:val="26"/>
          <w:szCs w:val="26"/>
        </w:rPr>
        <w:br/>
      </w:r>
      <w:r w:rsidRPr="00E34238">
        <w:rPr>
          <w:rFonts w:ascii="Times New Roman" w:hAnsi="Times New Roman" w:cs="Times New Roman"/>
          <w:sz w:val="26"/>
          <w:szCs w:val="26"/>
        </w:rPr>
        <w:br/>
      </w:r>
      <w:r w:rsidRPr="00E34238">
        <w:rPr>
          <w:rFonts w:ascii="Times New Roman" w:hAnsi="Times New Roman" w:cs="Times New Roman"/>
          <w:sz w:val="26"/>
          <w:szCs w:val="26"/>
          <w:shd w:val="clear" w:color="auto" w:fill="FFFFFF"/>
        </w:rPr>
        <w:t xml:space="preserve">Наиболее частыми схемами, которые применяются клиентами по отношению к страховым, можно считать следующие: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 Заявитель при оформлении договора предоставляет не полную информацию о страхуемом объекте;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lastRenderedPageBreak/>
        <w:t xml:space="preserve">► Страхователь заявляет на больший объём возмещения, при  наступлении страхового случая;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 Объект имущества страхуется несколько раз, в разных страховых компаниях;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 Незастрахованные объекты страхуются уже после наступления ущерба; </w:t>
      </w:r>
    </w:p>
    <w:p w:rsidR="006B68C9" w:rsidRPr="00E34238" w:rsidRDefault="006B68C9" w:rsidP="006B68C9">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 xml:space="preserve">► Страхователь инициирует страховой случай, с целью получения страховой выплаты; </w:t>
      </w:r>
    </w:p>
    <w:p w:rsidR="00E34238" w:rsidRPr="00E34238" w:rsidRDefault="006B68C9" w:rsidP="00E34238">
      <w:pPr>
        <w:pStyle w:val="a3"/>
        <w:ind w:firstLine="709"/>
        <w:jc w:val="both"/>
        <w:rPr>
          <w:rFonts w:ascii="Times New Roman" w:hAnsi="Times New Roman" w:cs="Times New Roman"/>
          <w:sz w:val="26"/>
          <w:szCs w:val="26"/>
          <w:shd w:val="clear" w:color="auto" w:fill="FFFFFF"/>
        </w:rPr>
      </w:pPr>
      <w:r w:rsidRPr="00E34238">
        <w:rPr>
          <w:rFonts w:ascii="Times New Roman" w:hAnsi="Times New Roman" w:cs="Times New Roman"/>
          <w:sz w:val="26"/>
          <w:szCs w:val="26"/>
          <w:shd w:val="clear" w:color="auto" w:fill="FFFFFF"/>
        </w:rPr>
        <w:t>►</w:t>
      </w:r>
      <w:r w:rsidR="00E34238" w:rsidRPr="00E34238">
        <w:rPr>
          <w:rFonts w:ascii="Times New Roman" w:hAnsi="Times New Roman" w:cs="Times New Roman"/>
          <w:sz w:val="26"/>
          <w:szCs w:val="26"/>
          <w:shd w:val="clear" w:color="auto" w:fill="FFFFFF"/>
        </w:rPr>
        <w:t xml:space="preserve"> </w:t>
      </w:r>
      <w:r w:rsidRPr="00E34238">
        <w:rPr>
          <w:rFonts w:ascii="Times New Roman" w:hAnsi="Times New Roman" w:cs="Times New Roman"/>
          <w:sz w:val="26"/>
          <w:szCs w:val="26"/>
          <w:shd w:val="clear" w:color="auto" w:fill="FFFFFF"/>
        </w:rPr>
        <w:t>Подставные и инсценированные страховые случаи.</w:t>
      </w:r>
    </w:p>
    <w:p w:rsidR="00E34238" w:rsidRPr="00E34238" w:rsidRDefault="00E34238" w:rsidP="006B68C9">
      <w:pPr>
        <w:pStyle w:val="a3"/>
        <w:ind w:firstLine="709"/>
        <w:jc w:val="both"/>
        <w:rPr>
          <w:rFonts w:ascii="Times New Roman" w:hAnsi="Times New Roman" w:cs="Times New Roman"/>
          <w:b/>
          <w:sz w:val="26"/>
          <w:szCs w:val="26"/>
          <w:shd w:val="clear" w:color="auto" w:fill="FFFFFF"/>
        </w:rPr>
      </w:pPr>
      <w:r w:rsidRPr="00E34238">
        <w:rPr>
          <w:rFonts w:ascii="Times New Roman" w:hAnsi="Times New Roman" w:cs="Times New Roman"/>
          <w:b/>
          <w:sz w:val="26"/>
          <w:szCs w:val="26"/>
          <w:shd w:val="clear" w:color="auto" w:fill="FFFFFF"/>
        </w:rPr>
        <w:t>Статья 159.5 УК РФ предусматривает наказание за мошенничества в сфере страхования.</w:t>
      </w:r>
    </w:p>
    <w:p w:rsidR="00E34238" w:rsidRP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r w:rsidRPr="00E34238">
        <w:rPr>
          <w:rFonts w:ascii="Times New Roman" w:eastAsia="Times New Roman" w:hAnsi="Times New Roman" w:cs="Times New Roman"/>
          <w:color w:val="333333"/>
          <w:sz w:val="26"/>
          <w:szCs w:val="26"/>
          <w:lang w:eastAsia="ru-RU"/>
        </w:rPr>
        <w:t>1. Мошенничество в сфере </w:t>
      </w:r>
      <w:hyperlink r:id="rId4" w:anchor="dst100052" w:history="1">
        <w:r w:rsidRPr="00E34238">
          <w:rPr>
            <w:rFonts w:ascii="Times New Roman" w:eastAsia="Times New Roman" w:hAnsi="Times New Roman" w:cs="Times New Roman"/>
            <w:color w:val="666699"/>
            <w:sz w:val="26"/>
            <w:szCs w:val="26"/>
            <w:u w:val="single"/>
            <w:lang w:eastAsia="ru-RU"/>
          </w:rPr>
          <w:t>страхования</w:t>
        </w:r>
      </w:hyperlink>
      <w:r w:rsidRPr="00E34238">
        <w:rPr>
          <w:rFonts w:ascii="Times New Roman" w:eastAsia="Times New Roman" w:hAnsi="Times New Roman" w:cs="Times New Roman"/>
          <w:color w:val="333333"/>
          <w:sz w:val="26"/>
          <w:szCs w:val="26"/>
          <w:lang w:eastAsia="ru-RU"/>
        </w:rPr>
        <w:t>,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E34238" w:rsidRP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1" w:name="dst1251"/>
      <w:bookmarkEnd w:id="1"/>
      <w:r w:rsidRPr="00E34238">
        <w:rPr>
          <w:rFonts w:ascii="Times New Roman" w:eastAsia="Times New Roman" w:hAnsi="Times New Roman" w:cs="Times New Roman"/>
          <w:color w:val="333333"/>
          <w:sz w:val="26"/>
          <w:szCs w:val="26"/>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34238" w:rsidRP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2" w:name="dst1252"/>
      <w:bookmarkEnd w:id="2"/>
      <w:r w:rsidRPr="00E34238">
        <w:rPr>
          <w:rFonts w:ascii="Times New Roman" w:eastAsia="Times New Roman" w:hAnsi="Times New Roman" w:cs="Times New Roman"/>
          <w:color w:val="333333"/>
          <w:sz w:val="26"/>
          <w:szCs w:val="26"/>
          <w:lang w:eastAsia="ru-RU"/>
        </w:rPr>
        <w:t>2. То же деяние, совершенное группой лиц по предварительному сговору, а равно с причинением </w:t>
      </w:r>
      <w:hyperlink r:id="rId5" w:anchor="dst1931" w:history="1">
        <w:r w:rsidRPr="00E34238">
          <w:rPr>
            <w:rFonts w:ascii="Times New Roman" w:eastAsia="Times New Roman" w:hAnsi="Times New Roman" w:cs="Times New Roman"/>
            <w:color w:val="666699"/>
            <w:sz w:val="26"/>
            <w:szCs w:val="26"/>
            <w:u w:val="single"/>
            <w:lang w:eastAsia="ru-RU"/>
          </w:rPr>
          <w:t>значительного ущерба</w:t>
        </w:r>
      </w:hyperlink>
      <w:r w:rsidRPr="00E34238">
        <w:rPr>
          <w:rFonts w:ascii="Times New Roman" w:eastAsia="Times New Roman" w:hAnsi="Times New Roman" w:cs="Times New Roman"/>
          <w:color w:val="333333"/>
          <w:sz w:val="26"/>
          <w:szCs w:val="26"/>
          <w:lang w:eastAsia="ru-RU"/>
        </w:rPr>
        <w:t> гражданину, -</w:t>
      </w:r>
    </w:p>
    <w:p w:rsidR="00E34238" w:rsidRP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3" w:name="dst1952"/>
      <w:bookmarkEnd w:id="3"/>
      <w:r w:rsidRPr="00E34238">
        <w:rPr>
          <w:rFonts w:ascii="Times New Roman" w:eastAsia="Times New Roman" w:hAnsi="Times New Roman" w:cs="Times New Roman"/>
          <w:color w:val="333333"/>
          <w:sz w:val="26"/>
          <w:szCs w:val="26"/>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34238" w:rsidRP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4" w:name="dst1254"/>
      <w:bookmarkEnd w:id="4"/>
      <w:r w:rsidRPr="00E34238">
        <w:rPr>
          <w:rFonts w:ascii="Times New Roman" w:eastAsia="Times New Roman" w:hAnsi="Times New Roman" w:cs="Times New Roman"/>
          <w:color w:val="333333"/>
          <w:sz w:val="26"/>
          <w:szCs w:val="26"/>
          <w:lang w:eastAsia="ru-RU"/>
        </w:rPr>
        <w:t>3. Деяния, предусмотренные </w:t>
      </w:r>
      <w:hyperlink r:id="rId6" w:anchor="dst1250" w:history="1">
        <w:r w:rsidRPr="00E34238">
          <w:rPr>
            <w:rFonts w:ascii="Times New Roman" w:eastAsia="Times New Roman" w:hAnsi="Times New Roman" w:cs="Times New Roman"/>
            <w:color w:val="666699"/>
            <w:sz w:val="26"/>
            <w:szCs w:val="26"/>
            <w:u w:val="single"/>
            <w:lang w:eastAsia="ru-RU"/>
          </w:rPr>
          <w:t>частями первой</w:t>
        </w:r>
      </w:hyperlink>
      <w:r w:rsidRPr="00E34238">
        <w:rPr>
          <w:rFonts w:ascii="Times New Roman" w:eastAsia="Times New Roman" w:hAnsi="Times New Roman" w:cs="Times New Roman"/>
          <w:color w:val="333333"/>
          <w:sz w:val="26"/>
          <w:szCs w:val="26"/>
          <w:lang w:eastAsia="ru-RU"/>
        </w:rPr>
        <w:t> или </w:t>
      </w:r>
      <w:hyperlink r:id="rId7" w:anchor="dst1252" w:history="1">
        <w:r w:rsidRPr="00E34238">
          <w:rPr>
            <w:rFonts w:ascii="Times New Roman" w:eastAsia="Times New Roman" w:hAnsi="Times New Roman" w:cs="Times New Roman"/>
            <w:color w:val="666699"/>
            <w:sz w:val="26"/>
            <w:szCs w:val="26"/>
            <w:u w:val="single"/>
            <w:lang w:eastAsia="ru-RU"/>
          </w:rPr>
          <w:t>второй</w:t>
        </w:r>
      </w:hyperlink>
      <w:r w:rsidRPr="00E34238">
        <w:rPr>
          <w:rFonts w:ascii="Times New Roman" w:eastAsia="Times New Roman" w:hAnsi="Times New Roman" w:cs="Times New Roman"/>
          <w:color w:val="333333"/>
          <w:sz w:val="26"/>
          <w:szCs w:val="26"/>
          <w:lang w:eastAsia="ru-RU"/>
        </w:rPr>
        <w:t> настоящей статьи, совершенные </w:t>
      </w:r>
      <w:hyperlink r:id="rId8" w:anchor="dst100078" w:history="1">
        <w:r w:rsidRPr="00E34238">
          <w:rPr>
            <w:rFonts w:ascii="Times New Roman" w:eastAsia="Times New Roman" w:hAnsi="Times New Roman" w:cs="Times New Roman"/>
            <w:color w:val="666699"/>
            <w:sz w:val="26"/>
            <w:szCs w:val="26"/>
            <w:u w:val="single"/>
            <w:lang w:eastAsia="ru-RU"/>
          </w:rPr>
          <w:t>лицом</w:t>
        </w:r>
      </w:hyperlink>
      <w:r w:rsidRPr="00E34238">
        <w:rPr>
          <w:rFonts w:ascii="Times New Roman" w:eastAsia="Times New Roman" w:hAnsi="Times New Roman" w:cs="Times New Roman"/>
          <w:color w:val="333333"/>
          <w:sz w:val="26"/>
          <w:szCs w:val="26"/>
          <w:lang w:eastAsia="ru-RU"/>
        </w:rPr>
        <w:t> с использованием своего служебного положения, а равно в </w:t>
      </w:r>
      <w:hyperlink r:id="rId9" w:anchor="dst2429" w:history="1">
        <w:r w:rsidRPr="00E34238">
          <w:rPr>
            <w:rFonts w:ascii="Times New Roman" w:eastAsia="Times New Roman" w:hAnsi="Times New Roman" w:cs="Times New Roman"/>
            <w:color w:val="666699"/>
            <w:sz w:val="26"/>
            <w:szCs w:val="26"/>
            <w:u w:val="single"/>
            <w:lang w:eastAsia="ru-RU"/>
          </w:rPr>
          <w:t>крупном размере</w:t>
        </w:r>
      </w:hyperlink>
      <w:r w:rsidRPr="00E34238">
        <w:rPr>
          <w:rFonts w:ascii="Times New Roman" w:eastAsia="Times New Roman" w:hAnsi="Times New Roman" w:cs="Times New Roman"/>
          <w:color w:val="333333"/>
          <w:sz w:val="26"/>
          <w:szCs w:val="26"/>
          <w:lang w:eastAsia="ru-RU"/>
        </w:rPr>
        <w:t>, -</w:t>
      </w:r>
    </w:p>
    <w:p w:rsidR="00E34238" w:rsidRP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5" w:name="dst1953"/>
      <w:bookmarkEnd w:id="5"/>
      <w:r w:rsidRPr="00E34238">
        <w:rPr>
          <w:rFonts w:ascii="Times New Roman" w:eastAsia="Times New Roman" w:hAnsi="Times New Roman" w:cs="Times New Roman"/>
          <w:color w:val="333333"/>
          <w:sz w:val="26"/>
          <w:szCs w:val="26"/>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34238" w:rsidRP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6" w:name="dst1256"/>
      <w:bookmarkEnd w:id="6"/>
      <w:r w:rsidRPr="00E34238">
        <w:rPr>
          <w:rFonts w:ascii="Times New Roman" w:eastAsia="Times New Roman" w:hAnsi="Times New Roman" w:cs="Times New Roman"/>
          <w:color w:val="333333"/>
          <w:sz w:val="26"/>
          <w:szCs w:val="26"/>
          <w:lang w:eastAsia="ru-RU"/>
        </w:rPr>
        <w:t>4. Деяния, предусмотренные </w:t>
      </w:r>
      <w:hyperlink r:id="rId10" w:anchor="dst1250" w:history="1">
        <w:r w:rsidRPr="00E34238">
          <w:rPr>
            <w:rFonts w:ascii="Times New Roman" w:eastAsia="Times New Roman" w:hAnsi="Times New Roman" w:cs="Times New Roman"/>
            <w:color w:val="666699"/>
            <w:sz w:val="26"/>
            <w:szCs w:val="26"/>
            <w:u w:val="single"/>
            <w:lang w:eastAsia="ru-RU"/>
          </w:rPr>
          <w:t>частями первой</w:t>
        </w:r>
      </w:hyperlink>
      <w:r w:rsidRPr="00E34238">
        <w:rPr>
          <w:rFonts w:ascii="Times New Roman" w:eastAsia="Times New Roman" w:hAnsi="Times New Roman" w:cs="Times New Roman"/>
          <w:color w:val="333333"/>
          <w:sz w:val="26"/>
          <w:szCs w:val="26"/>
          <w:lang w:eastAsia="ru-RU"/>
        </w:rPr>
        <w:t>, </w:t>
      </w:r>
      <w:hyperlink r:id="rId11" w:anchor="dst1252" w:history="1">
        <w:r w:rsidRPr="00E34238">
          <w:rPr>
            <w:rFonts w:ascii="Times New Roman" w:eastAsia="Times New Roman" w:hAnsi="Times New Roman" w:cs="Times New Roman"/>
            <w:color w:val="666699"/>
            <w:sz w:val="26"/>
            <w:szCs w:val="26"/>
            <w:u w:val="single"/>
            <w:lang w:eastAsia="ru-RU"/>
          </w:rPr>
          <w:t>второй</w:t>
        </w:r>
      </w:hyperlink>
      <w:r w:rsidRPr="00E34238">
        <w:rPr>
          <w:rFonts w:ascii="Times New Roman" w:eastAsia="Times New Roman" w:hAnsi="Times New Roman" w:cs="Times New Roman"/>
          <w:color w:val="333333"/>
          <w:sz w:val="26"/>
          <w:szCs w:val="26"/>
          <w:lang w:eastAsia="ru-RU"/>
        </w:rPr>
        <w:t> или </w:t>
      </w:r>
      <w:hyperlink r:id="rId12" w:anchor="dst1254" w:history="1">
        <w:r w:rsidRPr="00E34238">
          <w:rPr>
            <w:rFonts w:ascii="Times New Roman" w:eastAsia="Times New Roman" w:hAnsi="Times New Roman" w:cs="Times New Roman"/>
            <w:color w:val="666699"/>
            <w:sz w:val="26"/>
            <w:szCs w:val="26"/>
            <w:u w:val="single"/>
            <w:lang w:eastAsia="ru-RU"/>
          </w:rPr>
          <w:t>третьей</w:t>
        </w:r>
      </w:hyperlink>
      <w:r w:rsidRPr="00E34238">
        <w:rPr>
          <w:rFonts w:ascii="Times New Roman" w:eastAsia="Times New Roman" w:hAnsi="Times New Roman" w:cs="Times New Roman"/>
          <w:color w:val="333333"/>
          <w:sz w:val="26"/>
          <w:szCs w:val="26"/>
          <w:lang w:eastAsia="ru-RU"/>
        </w:rPr>
        <w:t> настоящей статьи, совершенные организованной группой либо в </w:t>
      </w:r>
      <w:hyperlink r:id="rId13" w:anchor="dst2429" w:history="1">
        <w:r w:rsidRPr="00E34238">
          <w:rPr>
            <w:rFonts w:ascii="Times New Roman" w:eastAsia="Times New Roman" w:hAnsi="Times New Roman" w:cs="Times New Roman"/>
            <w:color w:val="666699"/>
            <w:sz w:val="26"/>
            <w:szCs w:val="26"/>
            <w:u w:val="single"/>
            <w:lang w:eastAsia="ru-RU"/>
          </w:rPr>
          <w:t>особо крупном размере</w:t>
        </w:r>
      </w:hyperlink>
      <w:r w:rsidRPr="00E34238">
        <w:rPr>
          <w:rFonts w:ascii="Times New Roman" w:eastAsia="Times New Roman" w:hAnsi="Times New Roman" w:cs="Times New Roman"/>
          <w:color w:val="333333"/>
          <w:sz w:val="26"/>
          <w:szCs w:val="26"/>
          <w:lang w:eastAsia="ru-RU"/>
        </w:rPr>
        <w:t>, -</w:t>
      </w:r>
    </w:p>
    <w:p w:rsidR="00E34238" w:rsidRDefault="00E34238" w:rsidP="00E34238">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7" w:name="dst1257"/>
      <w:bookmarkEnd w:id="7"/>
      <w:r w:rsidRPr="00E34238">
        <w:rPr>
          <w:rFonts w:ascii="Times New Roman" w:eastAsia="Times New Roman" w:hAnsi="Times New Roman" w:cs="Times New Roman"/>
          <w:color w:val="333333"/>
          <w:sz w:val="26"/>
          <w:szCs w:val="26"/>
          <w:lang w:eastAsia="ru-RU"/>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34238" w:rsidRDefault="00E34238" w:rsidP="00E34238">
      <w:pPr>
        <w:ind w:firstLine="709"/>
        <w:jc w:val="both"/>
        <w:rPr>
          <w:rFonts w:ascii="Times New Roman" w:hAnsi="Times New Roman" w:cs="Times New Roman"/>
          <w:b/>
          <w:sz w:val="24"/>
          <w:szCs w:val="24"/>
        </w:rPr>
      </w:pPr>
    </w:p>
    <w:p w:rsidR="003E04E1" w:rsidRPr="003D0265" w:rsidRDefault="00E34238" w:rsidP="003D0265">
      <w:pPr>
        <w:ind w:firstLine="709"/>
        <w:jc w:val="both"/>
        <w:rPr>
          <w:rFonts w:ascii="Times New Roman" w:hAnsi="Times New Roman" w:cs="Times New Roman"/>
          <w:b/>
          <w:sz w:val="24"/>
          <w:szCs w:val="24"/>
        </w:rPr>
      </w:pPr>
      <w:r w:rsidRPr="006452B7">
        <w:rPr>
          <w:rFonts w:ascii="Times New Roman" w:hAnsi="Times New Roman" w:cs="Times New Roman"/>
          <w:b/>
          <w:sz w:val="24"/>
          <w:szCs w:val="24"/>
        </w:rPr>
        <w:t xml:space="preserve">Разъяснения действующего законодательства подготовлены прокуратурой Кузнецкого района. </w:t>
      </w:r>
    </w:p>
    <w:sectPr w:rsidR="003E04E1" w:rsidRPr="003D0265" w:rsidSect="006B68C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9C"/>
    <w:rsid w:val="003D0265"/>
    <w:rsid w:val="003E04E1"/>
    <w:rsid w:val="006B68C9"/>
    <w:rsid w:val="00976558"/>
    <w:rsid w:val="00D2599C"/>
    <w:rsid w:val="00E3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CB79"/>
  <w15:chartTrackingRefBased/>
  <w15:docId w15:val="{CC95F319-28CD-49E6-8589-5988C579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8C9"/>
    <w:pPr>
      <w:spacing w:after="0" w:line="240" w:lineRule="auto"/>
    </w:pPr>
  </w:style>
  <w:style w:type="character" w:customStyle="1" w:styleId="blk">
    <w:name w:val="blk"/>
    <w:basedOn w:val="a0"/>
    <w:rsid w:val="00E34238"/>
  </w:style>
  <w:style w:type="character" w:styleId="a4">
    <w:name w:val="Hyperlink"/>
    <w:basedOn w:val="a0"/>
    <w:uiPriority w:val="99"/>
    <w:semiHidden/>
    <w:unhideWhenUsed/>
    <w:rsid w:val="00E34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51059">
      <w:bodyDiv w:val="1"/>
      <w:marLeft w:val="0"/>
      <w:marRight w:val="0"/>
      <w:marTop w:val="0"/>
      <w:marBottom w:val="0"/>
      <w:divBdr>
        <w:top w:val="none" w:sz="0" w:space="0" w:color="auto"/>
        <w:left w:val="none" w:sz="0" w:space="0" w:color="auto"/>
        <w:bottom w:val="none" w:sz="0" w:space="0" w:color="auto"/>
        <w:right w:val="none" w:sz="0" w:space="0" w:color="auto"/>
      </w:divBdr>
      <w:divsChild>
        <w:div w:id="1442339107">
          <w:marLeft w:val="0"/>
          <w:marRight w:val="0"/>
          <w:marTop w:val="120"/>
          <w:marBottom w:val="0"/>
          <w:divBdr>
            <w:top w:val="none" w:sz="0" w:space="0" w:color="auto"/>
            <w:left w:val="none" w:sz="0" w:space="0" w:color="auto"/>
            <w:bottom w:val="none" w:sz="0" w:space="0" w:color="auto"/>
            <w:right w:val="none" w:sz="0" w:space="0" w:color="auto"/>
          </w:divBdr>
        </w:div>
        <w:div w:id="782966819">
          <w:marLeft w:val="0"/>
          <w:marRight w:val="0"/>
          <w:marTop w:val="120"/>
          <w:marBottom w:val="0"/>
          <w:divBdr>
            <w:top w:val="none" w:sz="0" w:space="0" w:color="auto"/>
            <w:left w:val="none" w:sz="0" w:space="0" w:color="auto"/>
            <w:bottom w:val="none" w:sz="0" w:space="0" w:color="auto"/>
            <w:right w:val="none" w:sz="0" w:space="0" w:color="auto"/>
          </w:divBdr>
        </w:div>
        <w:div w:id="2058775031">
          <w:marLeft w:val="0"/>
          <w:marRight w:val="0"/>
          <w:marTop w:val="120"/>
          <w:marBottom w:val="0"/>
          <w:divBdr>
            <w:top w:val="none" w:sz="0" w:space="0" w:color="auto"/>
            <w:left w:val="none" w:sz="0" w:space="0" w:color="auto"/>
            <w:bottom w:val="none" w:sz="0" w:space="0" w:color="auto"/>
            <w:right w:val="none" w:sz="0" w:space="0" w:color="auto"/>
          </w:divBdr>
        </w:div>
        <w:div w:id="1511413328">
          <w:marLeft w:val="0"/>
          <w:marRight w:val="0"/>
          <w:marTop w:val="120"/>
          <w:marBottom w:val="0"/>
          <w:divBdr>
            <w:top w:val="none" w:sz="0" w:space="0" w:color="auto"/>
            <w:left w:val="none" w:sz="0" w:space="0" w:color="auto"/>
            <w:bottom w:val="none" w:sz="0" w:space="0" w:color="auto"/>
            <w:right w:val="none" w:sz="0" w:space="0" w:color="auto"/>
          </w:divBdr>
        </w:div>
        <w:div w:id="1556045355">
          <w:marLeft w:val="0"/>
          <w:marRight w:val="0"/>
          <w:marTop w:val="120"/>
          <w:marBottom w:val="0"/>
          <w:divBdr>
            <w:top w:val="none" w:sz="0" w:space="0" w:color="auto"/>
            <w:left w:val="none" w:sz="0" w:space="0" w:color="auto"/>
            <w:bottom w:val="none" w:sz="0" w:space="0" w:color="auto"/>
            <w:right w:val="none" w:sz="0" w:space="0" w:color="auto"/>
          </w:divBdr>
        </w:div>
        <w:div w:id="763501854">
          <w:marLeft w:val="0"/>
          <w:marRight w:val="0"/>
          <w:marTop w:val="120"/>
          <w:marBottom w:val="0"/>
          <w:divBdr>
            <w:top w:val="none" w:sz="0" w:space="0" w:color="auto"/>
            <w:left w:val="none" w:sz="0" w:space="0" w:color="auto"/>
            <w:bottom w:val="none" w:sz="0" w:space="0" w:color="auto"/>
            <w:right w:val="none" w:sz="0" w:space="0" w:color="auto"/>
          </w:divBdr>
        </w:div>
        <w:div w:id="307248191">
          <w:marLeft w:val="0"/>
          <w:marRight w:val="0"/>
          <w:marTop w:val="120"/>
          <w:marBottom w:val="0"/>
          <w:divBdr>
            <w:top w:val="none" w:sz="0" w:space="0" w:color="auto"/>
            <w:left w:val="none" w:sz="0" w:space="0" w:color="auto"/>
            <w:bottom w:val="none" w:sz="0" w:space="0" w:color="auto"/>
            <w:right w:val="none" w:sz="0" w:space="0" w:color="auto"/>
          </w:divBdr>
        </w:div>
        <w:div w:id="1765613491">
          <w:marLeft w:val="0"/>
          <w:marRight w:val="0"/>
          <w:marTop w:val="120"/>
          <w:marBottom w:val="0"/>
          <w:divBdr>
            <w:top w:val="none" w:sz="0" w:space="0" w:color="auto"/>
            <w:left w:val="none" w:sz="0" w:space="0" w:color="auto"/>
            <w:bottom w:val="none" w:sz="0" w:space="0" w:color="auto"/>
            <w:right w:val="none" w:sz="0" w:space="0" w:color="auto"/>
          </w:divBdr>
        </w:div>
        <w:div w:id="342754555">
          <w:marLeft w:val="0"/>
          <w:marRight w:val="0"/>
          <w:marTop w:val="120"/>
          <w:marBottom w:val="0"/>
          <w:divBdr>
            <w:top w:val="none" w:sz="0" w:space="0" w:color="auto"/>
            <w:left w:val="none" w:sz="0" w:space="0" w:color="auto"/>
            <w:bottom w:val="none" w:sz="0" w:space="0" w:color="auto"/>
            <w:right w:val="none" w:sz="0" w:space="0" w:color="auto"/>
          </w:divBdr>
        </w:div>
        <w:div w:id="53250431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18/" TargetMode="External"/><Relationship Id="rId13" Type="http://schemas.openxmlformats.org/officeDocument/2006/relationships/hyperlink" Target="http://www.consultant.ru/document/cons_doc_LAW_349294/823429f3a37857573b519d0b17fd14f96a99bca4/" TargetMode="External"/><Relationship Id="rId3" Type="http://schemas.openxmlformats.org/officeDocument/2006/relationships/webSettings" Target="webSettings.xml"/><Relationship Id="rId7" Type="http://schemas.openxmlformats.org/officeDocument/2006/relationships/hyperlink" Target="http://www.consultant.ru/document/cons_doc_LAW_349294/0e17c9f5bd23686e1c53864f8783a3ca9fed2e60/" TargetMode="External"/><Relationship Id="rId12" Type="http://schemas.openxmlformats.org/officeDocument/2006/relationships/hyperlink" Target="http://www.consultant.ru/document/cons_doc_LAW_349294/0e17c9f5bd23686e1c53864f8783a3ca9fed2e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9294/0e17c9f5bd23686e1c53864f8783a3ca9fed2e60/" TargetMode="External"/><Relationship Id="rId11" Type="http://schemas.openxmlformats.org/officeDocument/2006/relationships/hyperlink" Target="http://www.consultant.ru/document/cons_doc_LAW_349294/0e17c9f5bd23686e1c53864f8783a3ca9fed2e60/" TargetMode="External"/><Relationship Id="rId5" Type="http://schemas.openxmlformats.org/officeDocument/2006/relationships/hyperlink" Target="http://www.consultant.ru/document/cons_doc_LAW_349294/57b5c7b83fcd2cf40cabe2042f2d8f04ed6875ad/" TargetMode="External"/><Relationship Id="rId15" Type="http://schemas.openxmlformats.org/officeDocument/2006/relationships/theme" Target="theme/theme1.xml"/><Relationship Id="rId10" Type="http://schemas.openxmlformats.org/officeDocument/2006/relationships/hyperlink" Target="http://www.consultant.ru/document/cons_doc_LAW_349294/0e17c9f5bd23686e1c53864f8783a3ca9fed2e60/" TargetMode="External"/><Relationship Id="rId4" Type="http://schemas.openxmlformats.org/officeDocument/2006/relationships/hyperlink" Target="http://www.consultant.ru/document/cons_doc_LAW_283918/" TargetMode="External"/><Relationship Id="rId9" Type="http://schemas.openxmlformats.org/officeDocument/2006/relationships/hyperlink" Target="http://www.consultant.ru/document/cons_doc_LAW_349294/823429f3a37857573b519d0b17fd14f96a99bca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997</Words>
  <Characters>5684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penzin_95@bk.ru</cp:lastModifiedBy>
  <cp:revision>4</cp:revision>
  <dcterms:created xsi:type="dcterms:W3CDTF">2020-05-28T18:07:00Z</dcterms:created>
  <dcterms:modified xsi:type="dcterms:W3CDTF">2020-05-29T06:32:00Z</dcterms:modified>
</cp:coreProperties>
</file>